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E89" w:rsidRPr="00C50174" w:rsidRDefault="00B25E89" w:rsidP="00C5017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r w:rsidRPr="00C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+</w:t>
      </w:r>
      <w:r w:rsidRPr="00C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-H</w:t>
      </w:r>
      <w:r w:rsidRPr="00C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+ </w:t>
      </w:r>
      <w:r w:rsidRPr="00C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EXCHANGER 1 DEFICIENCY PROTECTS ANGIOTENSIN II-INDUCED ABDOMINAL AORTIC ANEURYSM IN APOLIPOPROTEIN E-DEFICIENT MICE</w:t>
      </w:r>
    </w:p>
    <w:p w:rsidR="00C50174" w:rsidRDefault="00B25E89" w:rsidP="00C5017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C.-L. Liu</w:t>
      </w:r>
      <w:r w:rsidRPr="00C50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G. </w:t>
      </w:r>
      <w:proofErr w:type="spellStart"/>
      <w:r w:rsidRPr="00C50174">
        <w:rPr>
          <w:rFonts w:ascii="Times New Roman" w:eastAsia="Times New Roman" w:hAnsi="Times New Roman" w:cs="Times New Roman"/>
          <w:color w:val="000000"/>
          <w:sz w:val="24"/>
          <w:szCs w:val="24"/>
        </w:rPr>
        <w:t>Sukhova</w:t>
      </w:r>
      <w:proofErr w:type="spellEnd"/>
      <w:r w:rsidRPr="00C50174">
        <w:rPr>
          <w:rFonts w:ascii="Times New Roman" w:eastAsia="Times New Roman" w:hAnsi="Times New Roman" w:cs="Times New Roman"/>
          <w:color w:val="000000"/>
          <w:sz w:val="24"/>
          <w:szCs w:val="24"/>
        </w:rPr>
        <w:t>, P. Libby, G.-P. Shi</w:t>
      </w:r>
    </w:p>
    <w:p w:rsidR="00B25E89" w:rsidRPr="00C50174" w:rsidRDefault="00B25E89" w:rsidP="00C5017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174">
        <w:rPr>
          <w:rFonts w:ascii="Times New Roman" w:eastAsia="Times New Roman" w:hAnsi="Times New Roman" w:cs="Times New Roman"/>
          <w:color w:val="000000"/>
          <w:sz w:val="24"/>
          <w:szCs w:val="24"/>
        </w:rPr>
        <w:t>Brigham and Women's Hospital, Boston, MA, USA</w:t>
      </w:r>
    </w:p>
    <w:p w:rsidR="00B25E89" w:rsidRPr="00C50174" w:rsidRDefault="00B25E89" w:rsidP="00C5017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174" w:rsidRDefault="00B25E89" w:rsidP="00C5017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Background:</w:t>
      </w:r>
      <w:r w:rsidRPr="00C501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50174">
        <w:rPr>
          <w:rFonts w:ascii="Times New Roman" w:eastAsia="Times New Roman" w:hAnsi="Times New Roman" w:cs="Times New Roman"/>
          <w:color w:val="000000"/>
          <w:sz w:val="24"/>
          <w:szCs w:val="24"/>
        </w:rPr>
        <w:t>IgE</w:t>
      </w:r>
      <w:proofErr w:type="spellEnd"/>
      <w:r w:rsidRPr="00C50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plays important roles in abdominal aortic aneurysm (AAA). Our previous results suggest that </w:t>
      </w:r>
      <w:proofErr w:type="spellStart"/>
      <w:r w:rsidRPr="00C50174">
        <w:rPr>
          <w:rFonts w:ascii="Times New Roman" w:eastAsia="Times New Roman" w:hAnsi="Times New Roman" w:cs="Times New Roman"/>
          <w:color w:val="000000"/>
          <w:sz w:val="24"/>
          <w:szCs w:val="24"/>
        </w:rPr>
        <w:t>IgE</w:t>
      </w:r>
      <w:proofErr w:type="spellEnd"/>
      <w:r w:rsidRPr="00C50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acts through Na</w:t>
      </w:r>
      <w:r w:rsidRPr="00C5017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C50174">
        <w:rPr>
          <w:rFonts w:ascii="Times New Roman" w:eastAsia="Times New Roman" w:hAnsi="Times New Roman" w:cs="Times New Roman"/>
          <w:color w:val="000000"/>
          <w:sz w:val="24"/>
          <w:szCs w:val="24"/>
        </w:rPr>
        <w:t>-H</w:t>
      </w:r>
      <w:r w:rsidRPr="00C5017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C50174">
        <w:rPr>
          <w:rFonts w:ascii="Times New Roman" w:eastAsia="Times New Roman" w:hAnsi="Times New Roman" w:cs="Times New Roman"/>
          <w:color w:val="000000"/>
          <w:sz w:val="24"/>
          <w:szCs w:val="24"/>
        </w:rPr>
        <w:t> exchanger 1</w:t>
      </w:r>
      <w:r w:rsidRPr="00C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(</w:t>
      </w:r>
      <w:r w:rsidRPr="00C50174">
        <w:rPr>
          <w:rFonts w:ascii="Times New Roman" w:eastAsia="Times New Roman" w:hAnsi="Times New Roman" w:cs="Times New Roman"/>
          <w:color w:val="000000"/>
          <w:sz w:val="24"/>
          <w:szCs w:val="24"/>
        </w:rPr>
        <w:t>Nhe1). Yet the function of Nhe1 in AAA remains unknown. Here we examined the function of Nhe1 in AAA progression in the apolipoprotein E-deficient (</w:t>
      </w:r>
      <w:proofErr w:type="spellStart"/>
      <w:r w:rsidRPr="00C5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Apoe</w:t>
      </w:r>
      <w:proofErr w:type="spellEnd"/>
      <w:r w:rsidRPr="00C5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−/−</w:t>
      </w:r>
      <w:r w:rsidRPr="00C50174">
        <w:rPr>
          <w:rFonts w:ascii="Times New Roman" w:eastAsia="Times New Roman" w:hAnsi="Times New Roman" w:cs="Times New Roman"/>
          <w:color w:val="000000"/>
          <w:sz w:val="24"/>
          <w:szCs w:val="24"/>
        </w:rPr>
        <w:t>) murine AAA model.</w:t>
      </w:r>
    </w:p>
    <w:p w:rsidR="00C50174" w:rsidRDefault="00B25E89" w:rsidP="00C5017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Methods:</w:t>
      </w:r>
      <w:r w:rsidRPr="00C50174">
        <w:rPr>
          <w:rFonts w:ascii="Times New Roman" w:eastAsia="Times New Roman" w:hAnsi="Times New Roman" w:cs="Times New Roman"/>
          <w:color w:val="000000"/>
          <w:sz w:val="24"/>
          <w:szCs w:val="24"/>
        </w:rPr>
        <w:t> To test a direct participation of Nhe1 in AAA, we crossbred Nhe1-deficient (</w:t>
      </w:r>
      <w:r w:rsidRPr="00C5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Nhe1</w:t>
      </w:r>
      <w:r w:rsidRPr="00C5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+/−</w:t>
      </w:r>
      <w:r w:rsidRPr="00C50174">
        <w:rPr>
          <w:rFonts w:ascii="Times New Roman" w:eastAsia="Times New Roman" w:hAnsi="Times New Roman" w:cs="Times New Roman"/>
          <w:color w:val="000000"/>
          <w:sz w:val="24"/>
          <w:szCs w:val="24"/>
        </w:rPr>
        <w:t>) mice with </w:t>
      </w:r>
      <w:proofErr w:type="spellStart"/>
      <w:r w:rsidRPr="00C5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Apoe</w:t>
      </w:r>
      <w:proofErr w:type="spellEnd"/>
      <w:r w:rsidRPr="00C5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−/−</w:t>
      </w:r>
      <w:r w:rsidRPr="00C50174">
        <w:rPr>
          <w:rFonts w:ascii="Times New Roman" w:eastAsia="Times New Roman" w:hAnsi="Times New Roman" w:cs="Times New Roman"/>
          <w:color w:val="000000"/>
          <w:sz w:val="24"/>
          <w:szCs w:val="24"/>
        </w:rPr>
        <w:t> mice and produced </w:t>
      </w:r>
      <w:proofErr w:type="spellStart"/>
      <w:r w:rsidRPr="00C5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Apoe</w:t>
      </w:r>
      <w:proofErr w:type="spellEnd"/>
      <w:r w:rsidRPr="00C5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−/−</w:t>
      </w:r>
      <w:r w:rsidRPr="00C5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Nhe1</w:t>
      </w:r>
      <w:r w:rsidRPr="00C5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+/−</w:t>
      </w:r>
      <w:r w:rsidRPr="00C50174">
        <w:rPr>
          <w:rFonts w:ascii="Times New Roman" w:eastAsia="Times New Roman" w:hAnsi="Times New Roman" w:cs="Times New Roman"/>
          <w:color w:val="000000"/>
          <w:sz w:val="24"/>
          <w:szCs w:val="24"/>
        </w:rPr>
        <w:t> and </w:t>
      </w:r>
      <w:proofErr w:type="spellStart"/>
      <w:r w:rsidRPr="00C5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Apoe</w:t>
      </w:r>
      <w:proofErr w:type="spellEnd"/>
      <w:r w:rsidRPr="00C5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−/−</w:t>
      </w:r>
      <w:r w:rsidRPr="00C5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Nhe1</w:t>
      </w:r>
      <w:r w:rsidRPr="00C5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+/+</w:t>
      </w:r>
      <w:r w:rsidRPr="00C50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littermates, followed by infusing them with angiotensin II (Ang II) at 1000 ng/kg/min or vehicle via subcutaneous osmotic pump. We used a pH-sensitive fluorescent dye </w:t>
      </w:r>
      <w:proofErr w:type="spellStart"/>
      <w:r w:rsidRPr="00C50174">
        <w:rPr>
          <w:rFonts w:ascii="Times New Roman" w:eastAsia="Times New Roman" w:hAnsi="Times New Roman" w:cs="Times New Roman"/>
          <w:color w:val="000000"/>
          <w:sz w:val="24"/>
          <w:szCs w:val="24"/>
        </w:rPr>
        <w:t>pHrodo-succinimidyl</w:t>
      </w:r>
      <w:proofErr w:type="spellEnd"/>
      <w:r w:rsidRPr="00C50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ester (SE) to monitor pH changes in AAA lesions. We also performed near infrared fluorescent (NIRF) imaging on Ang II-induced </w:t>
      </w:r>
      <w:proofErr w:type="spellStart"/>
      <w:r w:rsidRPr="00C5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Apoe</w:t>
      </w:r>
      <w:proofErr w:type="spellEnd"/>
      <w:r w:rsidRPr="00C5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−/−</w:t>
      </w:r>
      <w:r w:rsidRPr="00C5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Nhe1</w:t>
      </w:r>
      <w:r w:rsidRPr="00C5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+/−</w:t>
      </w:r>
      <w:r w:rsidRPr="00C50174">
        <w:rPr>
          <w:rFonts w:ascii="Times New Roman" w:eastAsia="Times New Roman" w:hAnsi="Times New Roman" w:cs="Times New Roman"/>
          <w:color w:val="000000"/>
          <w:sz w:val="24"/>
          <w:szCs w:val="24"/>
        </w:rPr>
        <w:t> mice and </w:t>
      </w:r>
      <w:proofErr w:type="spellStart"/>
      <w:r w:rsidRPr="00C5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Apoe</w:t>
      </w:r>
      <w:proofErr w:type="spellEnd"/>
      <w:r w:rsidRPr="00C5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−/−</w:t>
      </w:r>
      <w:r w:rsidRPr="00C5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Nhe1</w:t>
      </w:r>
      <w:r w:rsidRPr="00C5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+/+</w:t>
      </w:r>
      <w:r w:rsidRPr="00C50174">
        <w:rPr>
          <w:rFonts w:ascii="Times New Roman" w:eastAsia="Times New Roman" w:hAnsi="Times New Roman" w:cs="Times New Roman"/>
          <w:color w:val="000000"/>
          <w:sz w:val="24"/>
          <w:szCs w:val="24"/>
        </w:rPr>
        <w:t> mice with pH sensitive probe LS662.</w:t>
      </w:r>
    </w:p>
    <w:p w:rsidR="00C50174" w:rsidRDefault="00B25E89" w:rsidP="00C5017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Results: </w:t>
      </w:r>
      <w:r w:rsidRPr="00C50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human AAA lesions, areas that contained clusters of macrophages and high amount of </w:t>
      </w:r>
      <w:proofErr w:type="spellStart"/>
      <w:r w:rsidRPr="00C50174">
        <w:rPr>
          <w:rFonts w:ascii="Times New Roman" w:eastAsia="Times New Roman" w:hAnsi="Times New Roman" w:cs="Times New Roman"/>
          <w:color w:val="000000"/>
          <w:sz w:val="24"/>
          <w:szCs w:val="24"/>
        </w:rPr>
        <w:t>IgE</w:t>
      </w:r>
      <w:proofErr w:type="spellEnd"/>
      <w:r w:rsidRPr="00C50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acidic; in contrast, regions that contained few macrophages and low levels of </w:t>
      </w:r>
      <w:proofErr w:type="spellStart"/>
      <w:r w:rsidRPr="00C50174">
        <w:rPr>
          <w:rFonts w:ascii="Times New Roman" w:eastAsia="Times New Roman" w:hAnsi="Times New Roman" w:cs="Times New Roman"/>
          <w:color w:val="000000"/>
          <w:sz w:val="24"/>
          <w:szCs w:val="24"/>
        </w:rPr>
        <w:t>IgE</w:t>
      </w:r>
      <w:proofErr w:type="spellEnd"/>
      <w:r w:rsidRPr="00C50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not. Nhe1-deficiency slowed AAA formation in </w:t>
      </w:r>
      <w:proofErr w:type="spellStart"/>
      <w:r w:rsidRPr="00C5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Apoe</w:t>
      </w:r>
      <w:proofErr w:type="spellEnd"/>
      <w:r w:rsidRPr="00C5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−/− </w:t>
      </w:r>
      <w:r w:rsidRPr="00C50174">
        <w:rPr>
          <w:rFonts w:ascii="Times New Roman" w:eastAsia="Times New Roman" w:hAnsi="Times New Roman" w:cs="Times New Roman"/>
          <w:color w:val="000000"/>
          <w:sz w:val="24"/>
          <w:szCs w:val="24"/>
        </w:rPr>
        <w:t>mice</w:t>
      </w:r>
      <w:r w:rsidRPr="00C5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 </w:t>
      </w:r>
      <w:r w:rsidRPr="00C50174">
        <w:rPr>
          <w:rFonts w:ascii="Times New Roman" w:eastAsia="Times New Roman" w:hAnsi="Times New Roman" w:cs="Times New Roman"/>
          <w:color w:val="000000"/>
          <w:sz w:val="24"/>
          <w:szCs w:val="24"/>
        </w:rPr>
        <w:t>with reduced lesion macrophage-positive area, CD4</w:t>
      </w:r>
      <w:r w:rsidRPr="00C5017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C50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T-cell number per lesion area, median SMC loss, collagen content, and media </w:t>
      </w:r>
      <w:proofErr w:type="spellStart"/>
      <w:r w:rsidRPr="00C50174">
        <w:rPr>
          <w:rFonts w:ascii="Times New Roman" w:eastAsia="Times New Roman" w:hAnsi="Times New Roman" w:cs="Times New Roman"/>
          <w:color w:val="000000"/>
          <w:sz w:val="24"/>
          <w:szCs w:val="24"/>
        </w:rPr>
        <w:t>elastica</w:t>
      </w:r>
      <w:proofErr w:type="spellEnd"/>
      <w:r w:rsidRPr="00C50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fragmentation. Nhe1-deficiency also blocked lesion acidification in areas rich in macrophages and </w:t>
      </w:r>
      <w:proofErr w:type="spellStart"/>
      <w:r w:rsidRPr="00C50174">
        <w:rPr>
          <w:rFonts w:ascii="Times New Roman" w:eastAsia="Times New Roman" w:hAnsi="Times New Roman" w:cs="Times New Roman"/>
          <w:color w:val="000000"/>
          <w:sz w:val="24"/>
          <w:szCs w:val="24"/>
        </w:rPr>
        <w:t>IgE</w:t>
      </w:r>
      <w:proofErr w:type="spellEnd"/>
      <w:r w:rsidRPr="00C50174">
        <w:rPr>
          <w:rFonts w:ascii="Times New Roman" w:eastAsia="Times New Roman" w:hAnsi="Times New Roman" w:cs="Times New Roman"/>
          <w:color w:val="000000"/>
          <w:sz w:val="24"/>
          <w:szCs w:val="24"/>
        </w:rPr>
        <w:t>, reduced cell apoptosis, and decreased serum level of TCTP (translationally controlled tumor protein). </w:t>
      </w:r>
      <w:r w:rsidRPr="00C5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 vivo</w:t>
      </w:r>
      <w:r w:rsidRPr="00C50174">
        <w:rPr>
          <w:rFonts w:ascii="Times New Roman" w:eastAsia="Times New Roman" w:hAnsi="Times New Roman" w:cs="Times New Roman"/>
          <w:color w:val="000000"/>
          <w:sz w:val="24"/>
          <w:szCs w:val="24"/>
        </w:rPr>
        <w:t> NIRF imaging showed significantly higher plaque target fluorescence to background ratio (TBR) in Ang II-induced </w:t>
      </w:r>
      <w:proofErr w:type="spellStart"/>
      <w:r w:rsidRPr="00C5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Apoe</w:t>
      </w:r>
      <w:proofErr w:type="spellEnd"/>
      <w:r w:rsidRPr="00C5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−/−</w:t>
      </w:r>
      <w:r w:rsidRPr="00C5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Nhe1</w:t>
      </w:r>
      <w:r w:rsidRPr="00C5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+/+</w:t>
      </w:r>
      <w:r w:rsidRPr="00C50174">
        <w:rPr>
          <w:rFonts w:ascii="Times New Roman" w:eastAsia="Times New Roman" w:hAnsi="Times New Roman" w:cs="Times New Roman"/>
          <w:color w:val="000000"/>
          <w:sz w:val="24"/>
          <w:szCs w:val="24"/>
        </w:rPr>
        <w:t> mice injected with a pH sensitive probe LS662 compared to Ang II-induced </w:t>
      </w:r>
      <w:proofErr w:type="spellStart"/>
      <w:r w:rsidRPr="00C5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Apoe</w:t>
      </w:r>
      <w:proofErr w:type="spellEnd"/>
      <w:r w:rsidRPr="00C5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−/−</w:t>
      </w:r>
      <w:r w:rsidRPr="00C5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Nhe1</w:t>
      </w:r>
      <w:r w:rsidRPr="00C5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+/− </w:t>
      </w:r>
      <w:r w:rsidRPr="00C50174">
        <w:rPr>
          <w:rFonts w:ascii="Times New Roman" w:eastAsia="Times New Roman" w:hAnsi="Times New Roman" w:cs="Times New Roman"/>
          <w:color w:val="000000"/>
          <w:sz w:val="24"/>
          <w:szCs w:val="24"/>
        </w:rPr>
        <w:t>or WT mice without AAA production.</w:t>
      </w:r>
      <w:r w:rsidR="00C50174" w:rsidRPr="00C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25E89" w:rsidRPr="00C50174" w:rsidRDefault="00B25E89" w:rsidP="00C5017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</w:t>
      </w:r>
      <w:r w:rsidRPr="00C50174">
        <w:rPr>
          <w:rFonts w:ascii="Times New Roman" w:eastAsia="Times New Roman" w:hAnsi="Times New Roman" w:cs="Times New Roman"/>
          <w:color w:val="000000"/>
          <w:sz w:val="24"/>
          <w:szCs w:val="24"/>
        </w:rPr>
        <w:t>: Nhe1-deficiency limits AAA progression by regulating lesion inflammation, extracellular matrix remodeling, pH changes and cell apoptosis. NIRF imaging strategies may be utilized as a non-invasive and radiation-free imaging technique to improve real-time monitoring of AAA disease progression.</w:t>
      </w:r>
    </w:p>
    <w:p w:rsidR="00B25E89" w:rsidRPr="00C50174" w:rsidRDefault="00B25E89" w:rsidP="00C501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DBB" w:rsidRPr="00C50174" w:rsidRDefault="00C50174" w:rsidP="00C50174">
      <w:pPr>
        <w:tabs>
          <w:tab w:val="left" w:pos="5138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345DBB" w:rsidRPr="00C5017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474" w:rsidRDefault="00E23474" w:rsidP="00C50174">
      <w:r>
        <w:separator/>
      </w:r>
    </w:p>
  </w:endnote>
  <w:endnote w:type="continuationSeparator" w:id="0">
    <w:p w:rsidR="00E23474" w:rsidRDefault="00E23474" w:rsidP="00C5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474" w:rsidRDefault="00E23474" w:rsidP="00C50174">
      <w:r>
        <w:separator/>
      </w:r>
    </w:p>
  </w:footnote>
  <w:footnote w:type="continuationSeparator" w:id="0">
    <w:p w:rsidR="00E23474" w:rsidRDefault="00E23474" w:rsidP="00C50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174" w:rsidRPr="00C50174" w:rsidRDefault="00C50174" w:rsidP="00C50174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C50174">
      <w:rPr>
        <w:rFonts w:ascii="Times New Roman" w:eastAsia="Times New Roman" w:hAnsi="Times New Roman" w:cs="Times New Roman"/>
        <w:color w:val="000000"/>
        <w:sz w:val="24"/>
        <w:szCs w:val="24"/>
      </w:rPr>
      <w:t>18-A-1370-IAC</w:t>
    </w:r>
  </w:p>
  <w:p w:rsidR="00C50174" w:rsidRPr="00C50174" w:rsidRDefault="00C50174" w:rsidP="00C50174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C50174">
      <w:rPr>
        <w:rFonts w:ascii="Times New Roman" w:eastAsia="Times New Roman" w:hAnsi="Times New Roman" w:cs="Times New Roman"/>
        <w:color w:val="000000"/>
        <w:sz w:val="24"/>
        <w:szCs w:val="24"/>
      </w:rPr>
      <w:t>02. Vascular Biology, Basic Research</w:t>
    </w:r>
  </w:p>
  <w:p w:rsidR="00C50174" w:rsidRDefault="00C50174">
    <w:pPr>
      <w:pStyle w:val="Header"/>
    </w:pPr>
  </w:p>
  <w:p w:rsidR="00C50174" w:rsidRDefault="00C501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89"/>
    <w:rsid w:val="0030401F"/>
    <w:rsid w:val="008A10D5"/>
    <w:rsid w:val="00A128E1"/>
    <w:rsid w:val="00B25E89"/>
    <w:rsid w:val="00C50174"/>
    <w:rsid w:val="00E23474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F4AA"/>
  <w15:chartTrackingRefBased/>
  <w15:docId w15:val="{97CFA452-4494-4623-9848-31F12948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174"/>
  </w:style>
  <w:style w:type="paragraph" w:styleId="Footer">
    <w:name w:val="footer"/>
    <w:basedOn w:val="Normal"/>
    <w:link w:val="FooterChar"/>
    <w:uiPriority w:val="99"/>
    <w:unhideWhenUsed/>
    <w:rsid w:val="00C50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2018-05-25T08:52:00Z</dcterms:created>
  <dcterms:modified xsi:type="dcterms:W3CDTF">2018-05-25T08:55:00Z</dcterms:modified>
</cp:coreProperties>
</file>